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0D07" w:rsidRDefault="007C28AC">
      <w:pPr>
        <w:spacing w:before="72" w:after="0" w:line="236" w:lineRule="exact"/>
        <w:ind w:left="2490" w:right="-20"/>
        <w:rPr>
          <w:rFonts w:ascii="Verdana" w:eastAsia="Verdana" w:hAnsi="Verdana" w:cs="Verdana"/>
          <w:sz w:val="20"/>
          <w:szCs w:val="20"/>
        </w:rPr>
      </w:pPr>
      <w:r>
        <w:rPr>
          <w:noProof/>
          <w:lang w:bidi="ar-SA"/>
        </w:rPr>
        <w:drawing>
          <wp:anchor distT="0" distB="0" distL="114300" distR="114300" simplePos="0" relativeHeight="251656704" behindDoc="1" locked="0" layoutInCell="1" allowOverlap="1">
            <wp:simplePos x="0" y="0"/>
            <wp:positionH relativeFrom="page">
              <wp:posOffset>584200</wp:posOffset>
            </wp:positionH>
            <wp:positionV relativeFrom="paragraph">
              <wp:posOffset>76200</wp:posOffset>
            </wp:positionV>
            <wp:extent cx="1266825" cy="628650"/>
            <wp:effectExtent l="0" t="0" r="9525" b="0"/>
            <wp:wrapNone/>
            <wp:docPr id="22" name="Slika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66825" cy="628650"/>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b/>
          <w:position w:val="-1"/>
          <w:sz w:val="20"/>
        </w:rPr>
        <w:t>Evropska Komisija – sporočilo za javnost</w:t>
      </w:r>
    </w:p>
    <w:p w:rsidR="00EB0D07" w:rsidRDefault="00EB0D07">
      <w:pPr>
        <w:spacing w:before="2" w:after="0" w:line="150" w:lineRule="exact"/>
        <w:rPr>
          <w:sz w:val="15"/>
          <w:szCs w:val="15"/>
        </w:rPr>
      </w:pPr>
    </w:p>
    <w:p w:rsidR="00EB0D07" w:rsidRDefault="00EB0D07">
      <w:pPr>
        <w:spacing w:after="0" w:line="200" w:lineRule="exact"/>
        <w:rPr>
          <w:sz w:val="20"/>
          <w:szCs w:val="20"/>
        </w:rPr>
      </w:pPr>
    </w:p>
    <w:p w:rsidR="00EB0D07" w:rsidRDefault="00EB0D07">
      <w:pPr>
        <w:spacing w:after="0" w:line="200" w:lineRule="exact"/>
        <w:rPr>
          <w:sz w:val="20"/>
          <w:szCs w:val="20"/>
        </w:rPr>
      </w:pPr>
    </w:p>
    <w:p w:rsidR="00EB0D07" w:rsidRDefault="00EB0D07">
      <w:pPr>
        <w:spacing w:after="0" w:line="200" w:lineRule="exact"/>
        <w:rPr>
          <w:sz w:val="20"/>
          <w:szCs w:val="20"/>
        </w:rPr>
      </w:pPr>
    </w:p>
    <w:p w:rsidR="00EB0D07" w:rsidRDefault="00EB0D07">
      <w:pPr>
        <w:spacing w:after="0" w:line="200" w:lineRule="exact"/>
        <w:rPr>
          <w:sz w:val="20"/>
          <w:szCs w:val="20"/>
        </w:rPr>
      </w:pPr>
    </w:p>
    <w:p w:rsidR="00EB0D07" w:rsidRDefault="00EB0D07">
      <w:pPr>
        <w:spacing w:after="0" w:line="200" w:lineRule="exact"/>
        <w:rPr>
          <w:sz w:val="20"/>
          <w:szCs w:val="20"/>
        </w:rPr>
      </w:pPr>
    </w:p>
    <w:p w:rsidR="00EB0D07" w:rsidRDefault="007C28AC">
      <w:pPr>
        <w:spacing w:before="28" w:after="0" w:line="288" w:lineRule="exact"/>
        <w:ind w:left="100" w:right="230"/>
        <w:rPr>
          <w:rFonts w:ascii="Verdana" w:eastAsia="Verdana" w:hAnsi="Verdana" w:cs="Verdana"/>
          <w:sz w:val="24"/>
          <w:szCs w:val="24"/>
        </w:rPr>
      </w:pPr>
      <w:r>
        <w:rPr>
          <w:rFonts w:ascii="Verdana" w:hAnsi="Verdana"/>
          <w:b/>
          <w:sz w:val="24"/>
        </w:rPr>
        <w:t xml:space="preserve">Monitor izobraževanja in usposabljanja: Za ozaveščanje </w:t>
      </w:r>
      <w:r w:rsidR="00194C67">
        <w:rPr>
          <w:rFonts w:ascii="Verdana" w:hAnsi="Verdana"/>
          <w:b/>
          <w:sz w:val="24"/>
        </w:rPr>
        <w:t xml:space="preserve">družbe </w:t>
      </w:r>
      <w:r>
        <w:rPr>
          <w:rFonts w:ascii="Verdana" w:hAnsi="Verdana"/>
          <w:b/>
          <w:sz w:val="24"/>
        </w:rPr>
        <w:t>o koristih izobraževanja potrebujemo več investicij</w:t>
      </w:r>
    </w:p>
    <w:p w:rsidR="00EB0D07" w:rsidRDefault="00EB0D07">
      <w:pPr>
        <w:spacing w:before="1" w:after="0" w:line="220" w:lineRule="exact"/>
      </w:pPr>
    </w:p>
    <w:p w:rsidR="00EB0D07" w:rsidRDefault="007C28AC">
      <w:pPr>
        <w:spacing w:after="0" w:line="236" w:lineRule="exact"/>
        <w:ind w:left="100" w:right="-20"/>
        <w:rPr>
          <w:rFonts w:ascii="Verdana" w:eastAsia="Verdana" w:hAnsi="Verdana" w:cs="Verdana"/>
          <w:sz w:val="20"/>
          <w:szCs w:val="20"/>
        </w:rPr>
      </w:pPr>
      <w:r>
        <w:rPr>
          <w:rFonts w:ascii="Verdana" w:hAnsi="Verdana"/>
          <w:position w:val="-1"/>
          <w:sz w:val="20"/>
        </w:rPr>
        <w:t>Bruselj, 12. november 2015</w:t>
      </w:r>
    </w:p>
    <w:p w:rsidR="00EB0D07" w:rsidRDefault="00EB0D07" w:rsidP="00194C67">
      <w:pPr>
        <w:spacing w:after="0" w:line="220" w:lineRule="exact"/>
        <w:jc w:val="both"/>
      </w:pPr>
    </w:p>
    <w:p w:rsidR="00EB0D07" w:rsidRDefault="007C28AC" w:rsidP="00194C67">
      <w:pPr>
        <w:spacing w:before="33" w:after="0" w:line="240" w:lineRule="exact"/>
        <w:ind w:left="100" w:right="176"/>
        <w:jc w:val="both"/>
        <w:rPr>
          <w:rFonts w:ascii="Verdana" w:eastAsia="Verdana" w:hAnsi="Verdana" w:cs="Verdana"/>
          <w:sz w:val="20"/>
          <w:szCs w:val="20"/>
        </w:rPr>
      </w:pPr>
      <w:r>
        <w:rPr>
          <w:rFonts w:ascii="Verdana" w:hAnsi="Verdana"/>
          <w:b/>
          <w:sz w:val="20"/>
        </w:rPr>
        <w:t xml:space="preserve">Po podatkih iz poročila Monitor izobraževanja in usposabljanja 2015 je viden napredek pri doseganju izobrazbe v Evropi, vendar podatki </w:t>
      </w:r>
      <w:r w:rsidR="00194C67">
        <w:rPr>
          <w:rFonts w:ascii="Verdana" w:hAnsi="Verdana"/>
          <w:b/>
          <w:sz w:val="20"/>
        </w:rPr>
        <w:t>tudi razkrivajo</w:t>
      </w:r>
      <w:r>
        <w:rPr>
          <w:rFonts w:ascii="Verdana" w:hAnsi="Verdana"/>
          <w:b/>
          <w:sz w:val="20"/>
        </w:rPr>
        <w:t>, da potrebujemo več investicij, če želimo zagotoviti bolj vključujoče izobraževanje in spodbujati socialno mobilnost.</w:t>
      </w:r>
    </w:p>
    <w:p w:rsidR="00EB0D07" w:rsidRDefault="00EB0D07" w:rsidP="00194C67">
      <w:pPr>
        <w:spacing w:before="1" w:after="0" w:line="220" w:lineRule="exact"/>
        <w:jc w:val="both"/>
      </w:pPr>
    </w:p>
    <w:p w:rsidR="00EB0D07" w:rsidRDefault="007C28AC" w:rsidP="00194C67">
      <w:pPr>
        <w:spacing w:after="0" w:line="240" w:lineRule="exact"/>
        <w:ind w:left="100" w:right="211"/>
        <w:jc w:val="both"/>
        <w:rPr>
          <w:rFonts w:ascii="Verdana" w:eastAsia="Verdana" w:hAnsi="Verdana" w:cs="Verdana"/>
          <w:sz w:val="20"/>
          <w:szCs w:val="20"/>
        </w:rPr>
      </w:pPr>
      <w:r>
        <w:rPr>
          <w:rFonts w:ascii="Verdana" w:hAnsi="Verdana"/>
          <w:sz w:val="20"/>
        </w:rPr>
        <w:t>V zadnji izdaji Monitorja izobraževanja in usposabljanja lahko preberemo, da so v vedno več državah članicah uresničili cilja povečati število oseb, ki dosežejo višjo raven izobrazbe, in zmanjšati število tistih, ki zgodaj opustijo izobraževanje. To pomeni, da je Evropa na dobri poti, da uresniči cilje, ki si jih je zastavila s svojo strategijo za rast in delovna mesta do leta 2020. Vendar, napredek ni enakomerno porazdeljen, saj so razlike med državami članicami in tudi znotraj posameznih držav članic. Učenci s prikrajšanim ali priseljenskim ozadjem najbolj v nevarnosti, da ne dosežejo minimalnih standardov znanj.</w:t>
      </w:r>
    </w:p>
    <w:p w:rsidR="00EB0D07" w:rsidRDefault="00EB0D07" w:rsidP="00194C67">
      <w:pPr>
        <w:spacing w:before="1" w:after="0" w:line="100" w:lineRule="exact"/>
        <w:jc w:val="both"/>
        <w:rPr>
          <w:sz w:val="10"/>
          <w:szCs w:val="10"/>
        </w:rPr>
      </w:pPr>
    </w:p>
    <w:p w:rsidR="00EB0D07" w:rsidRDefault="007C28AC" w:rsidP="00194C67">
      <w:pPr>
        <w:spacing w:after="0" w:line="240" w:lineRule="exact"/>
        <w:ind w:left="100" w:right="177"/>
        <w:jc w:val="both"/>
        <w:rPr>
          <w:rFonts w:ascii="Verdana" w:eastAsia="Verdana" w:hAnsi="Verdana" w:cs="Verdana"/>
          <w:sz w:val="20"/>
          <w:szCs w:val="20"/>
        </w:rPr>
      </w:pPr>
      <w:r>
        <w:rPr>
          <w:rFonts w:ascii="Verdana" w:hAnsi="Verdana"/>
          <w:sz w:val="20"/>
        </w:rPr>
        <w:t xml:space="preserve">Tibor </w:t>
      </w:r>
      <w:proofErr w:type="spellStart"/>
      <w:r>
        <w:rPr>
          <w:rFonts w:ascii="Verdana" w:hAnsi="Verdana"/>
          <w:sz w:val="20"/>
        </w:rPr>
        <w:t>Navracsics</w:t>
      </w:r>
      <w:proofErr w:type="spellEnd"/>
      <w:r>
        <w:rPr>
          <w:rFonts w:ascii="Verdana" w:hAnsi="Verdana"/>
          <w:sz w:val="20"/>
        </w:rPr>
        <w:t xml:space="preserve">, komisar EU za izobraževanje, kulturo, mladino in šport, je povedal: </w:t>
      </w:r>
      <w:r>
        <w:rPr>
          <w:rFonts w:ascii="Verdana" w:hAnsi="Verdana"/>
          <w:i/>
          <w:sz w:val="20"/>
        </w:rPr>
        <w:t>"Izobraževanje je ključno, če želimo spodbuditi gospodarsko rast in graditi kohezivne družbe. Evropski izobraževalni sistem postaja vedno boljši, zato je pomembno, da prednosti tega uspešnega procesa, delimo s tistimi, za katere obstaja največje tveganje.</w:t>
      </w:r>
    </w:p>
    <w:p w:rsidR="00EB0D07" w:rsidRDefault="007C28AC" w:rsidP="00194C67">
      <w:pPr>
        <w:spacing w:after="0" w:line="240" w:lineRule="exact"/>
        <w:ind w:left="100" w:right="48"/>
        <w:jc w:val="both"/>
        <w:rPr>
          <w:rFonts w:ascii="Verdana" w:eastAsia="Verdana" w:hAnsi="Verdana" w:cs="Verdana"/>
          <w:sz w:val="20"/>
          <w:szCs w:val="20"/>
        </w:rPr>
      </w:pPr>
      <w:r>
        <w:rPr>
          <w:rFonts w:ascii="Verdana" w:hAnsi="Verdana"/>
          <w:i/>
          <w:sz w:val="20"/>
        </w:rPr>
        <w:t>To pomeni, da so potrebne nove in okrepljene investicije v izobraževanje, če želimo ustvariti in zagotoviti visoko kakovostna odprta učna okolja, ki podpirajo vse in so tolerantna do vseh."</w:t>
      </w:r>
    </w:p>
    <w:p w:rsidR="00EB0D07" w:rsidRDefault="00EB0D07" w:rsidP="00194C67">
      <w:pPr>
        <w:spacing w:before="1" w:after="0" w:line="100" w:lineRule="exact"/>
        <w:jc w:val="both"/>
        <w:rPr>
          <w:sz w:val="10"/>
          <w:szCs w:val="10"/>
        </w:rPr>
      </w:pPr>
    </w:p>
    <w:p w:rsidR="00EB0D07" w:rsidRDefault="007C28AC" w:rsidP="00194C67">
      <w:pPr>
        <w:spacing w:after="0" w:line="240" w:lineRule="exact"/>
        <w:ind w:left="100" w:right="161"/>
        <w:jc w:val="both"/>
        <w:rPr>
          <w:rFonts w:ascii="Verdana" w:eastAsia="Verdana" w:hAnsi="Verdana" w:cs="Verdana"/>
          <w:sz w:val="20"/>
          <w:szCs w:val="20"/>
        </w:rPr>
      </w:pPr>
      <w:r>
        <w:rPr>
          <w:rFonts w:ascii="Verdana" w:hAnsi="Verdana"/>
          <w:sz w:val="20"/>
        </w:rPr>
        <w:t>Podatki iz poročila kažejo, da petnajstletniki z nizkim socialno-ekonomskim statusom petkrat bolj verjetno ne osvojijo osnovnih spretnosti bralne in matematične pismenosti kot njihovi vrstniki, ki se jim godi bolje. Osvetli tudi dejstvo, da učenci in dijaki, rojeni v tujini, dvakrat bolj verjetno zapustijo šolo zgodaj kot tisti, rojeni v državi izobraževanja.</w:t>
      </w:r>
    </w:p>
    <w:p w:rsidR="00EB0D07" w:rsidRDefault="007C28AC" w:rsidP="007C28AC">
      <w:pPr>
        <w:spacing w:before="92" w:after="0" w:line="240" w:lineRule="auto"/>
        <w:ind w:left="100" w:right="-20"/>
        <w:jc w:val="both"/>
        <w:rPr>
          <w:rFonts w:ascii="Verdana" w:eastAsia="Verdana" w:hAnsi="Verdana" w:cs="Verdana"/>
          <w:sz w:val="20"/>
          <w:szCs w:val="20"/>
        </w:rPr>
      </w:pPr>
      <w:r>
        <w:rPr>
          <w:rFonts w:ascii="Verdana" w:hAnsi="Verdana"/>
          <w:sz w:val="20"/>
        </w:rPr>
        <w:t>To stanje je treba upoštevati v smislu stalnega krčenja izdatkov proračunskih sredstev, namenjenih za izobraževanje, ki so se od leta 2013 v Evropi zmanjšali za 3,2 odstotka. Študija se zaključi z ugotovitvijo, da je treba obuditi in pospešiti investicije v izobraževanje. Investicije so potrebne, če želimo v Evropi graditi bolj vključujoče izobraževalne sisteme in preprečiti širitev "izobraževalne revščine", ki je še naprej prvi vzrok brezposelnosti in socialne izključenosti. Vključuje priporočilo državam članicam, da naj se osredotočijo na izboljšanje dostopa in kakovosti ter ozaveščanje o pomembnosti sistemov izobraževanja in usposabljanja.</w:t>
      </w:r>
    </w:p>
    <w:p w:rsidR="00EB0D07" w:rsidRDefault="007C28AC" w:rsidP="00194C67">
      <w:pPr>
        <w:spacing w:before="92" w:after="0" w:line="240" w:lineRule="auto"/>
        <w:ind w:left="100" w:right="-20"/>
        <w:jc w:val="both"/>
        <w:rPr>
          <w:rFonts w:ascii="Verdana" w:eastAsia="Verdana" w:hAnsi="Verdana" w:cs="Verdana"/>
          <w:sz w:val="20"/>
          <w:szCs w:val="20"/>
        </w:rPr>
      </w:pPr>
      <w:r>
        <w:rPr>
          <w:rFonts w:ascii="Verdana" w:hAnsi="Verdana"/>
          <w:b/>
          <w:sz w:val="20"/>
        </w:rPr>
        <w:t>Obrazložitev</w:t>
      </w:r>
    </w:p>
    <w:p w:rsidR="00EB0D07" w:rsidRDefault="00EB0D07" w:rsidP="00194C67">
      <w:pPr>
        <w:spacing w:before="7" w:after="0" w:line="100" w:lineRule="exact"/>
        <w:jc w:val="both"/>
        <w:rPr>
          <w:sz w:val="10"/>
          <w:szCs w:val="10"/>
        </w:rPr>
      </w:pPr>
    </w:p>
    <w:p w:rsidR="00EB0D07" w:rsidRDefault="007C28AC" w:rsidP="00194C67">
      <w:pPr>
        <w:spacing w:after="0" w:line="240" w:lineRule="exact"/>
        <w:ind w:left="100" w:right="199"/>
        <w:jc w:val="both"/>
        <w:rPr>
          <w:rFonts w:ascii="Verdana" w:eastAsia="Verdana" w:hAnsi="Verdana" w:cs="Verdana"/>
          <w:sz w:val="20"/>
          <w:szCs w:val="20"/>
        </w:rPr>
      </w:pPr>
      <w:r>
        <w:rPr>
          <w:rFonts w:ascii="Verdana" w:hAnsi="Verdana"/>
          <w:sz w:val="20"/>
        </w:rPr>
        <w:t xml:space="preserve">Monitor izobraževanja in usposabljanja 2015 je četrta izdaja tega letnega poročila, ki spremlja razvoj evropskih sistemov izobraževanja in usposabljanja prek zbiranja različnih dokazov. Meri napredek Evrope v uresničevanju ciljev na poti do izpolnitve </w:t>
      </w:r>
      <w:r>
        <w:rPr>
          <w:rFonts w:ascii="Verdana" w:hAnsi="Verdana"/>
          <w:color w:val="0000FF"/>
          <w:sz w:val="20"/>
          <w:u w:val="single" w:color="0000FF"/>
        </w:rPr>
        <w:t xml:space="preserve">krovnega cilja za izobraževanje </w:t>
      </w:r>
      <w:r>
        <w:rPr>
          <w:rFonts w:ascii="Verdana" w:hAnsi="Verdana"/>
          <w:sz w:val="20"/>
        </w:rPr>
        <w:t>Evropa 2020, ki je del širše strategije za rast in delovna mesta v EU</w:t>
      </w:r>
      <w:r>
        <w:rPr>
          <w:rFonts w:ascii="Verdana" w:hAnsi="Verdana"/>
          <w:color w:val="000000"/>
          <w:sz w:val="20"/>
        </w:rPr>
        <w:t>. Poročilo je izhodišče za ocenjevanje uspešnosti držav EU in podlaga za letna poročila držav v okviru Evropskega semestra.</w:t>
      </w:r>
    </w:p>
    <w:p w:rsidR="00EB0D07" w:rsidRDefault="00EB0D07" w:rsidP="00194C67">
      <w:pPr>
        <w:spacing w:before="1" w:after="0" w:line="100" w:lineRule="exact"/>
        <w:jc w:val="both"/>
        <w:rPr>
          <w:sz w:val="10"/>
          <w:szCs w:val="10"/>
        </w:rPr>
      </w:pPr>
    </w:p>
    <w:p w:rsidR="00EB0D07" w:rsidRDefault="007C28AC" w:rsidP="00194C67">
      <w:pPr>
        <w:spacing w:after="0" w:line="240" w:lineRule="exact"/>
        <w:ind w:left="100" w:right="119"/>
        <w:jc w:val="both"/>
        <w:rPr>
          <w:rFonts w:ascii="Verdana" w:eastAsia="Verdana" w:hAnsi="Verdana" w:cs="Verdana"/>
          <w:sz w:val="20"/>
          <w:szCs w:val="20"/>
        </w:rPr>
      </w:pPr>
      <w:r>
        <w:rPr>
          <w:rFonts w:ascii="Verdana" w:hAnsi="Verdana"/>
          <w:sz w:val="20"/>
        </w:rPr>
        <w:t xml:space="preserve">Študija tudi širše podpira na dokazih temelječe politike za izobraževanje in usposabljanje in je referenčno orodje za oblikovalce politik v Evropi. Zajema primerjavo med državami, osemindvajset poglobljenih poročil in </w:t>
      </w:r>
      <w:r>
        <w:rPr>
          <w:rFonts w:ascii="Verdana" w:hAnsi="Verdana"/>
          <w:color w:val="0000FF"/>
          <w:sz w:val="20"/>
          <w:u w:val="single" w:color="0000FF"/>
        </w:rPr>
        <w:t>namensko spletišče z dodatnimi podatki in informacijami</w:t>
      </w:r>
      <w:r>
        <w:rPr>
          <w:rFonts w:ascii="Verdana" w:hAnsi="Verdana"/>
          <w:color w:val="000000"/>
          <w:sz w:val="20"/>
        </w:rPr>
        <w:t>.</w:t>
      </w:r>
    </w:p>
    <w:p w:rsidR="00EB0D07" w:rsidRDefault="00EB0D07" w:rsidP="00194C67">
      <w:pPr>
        <w:spacing w:before="1" w:after="0" w:line="100" w:lineRule="exact"/>
        <w:jc w:val="both"/>
        <w:rPr>
          <w:sz w:val="10"/>
          <w:szCs w:val="10"/>
        </w:rPr>
      </w:pPr>
    </w:p>
    <w:p w:rsidR="00EB0D07" w:rsidRDefault="007C28AC" w:rsidP="00194C67">
      <w:pPr>
        <w:spacing w:after="0" w:line="240" w:lineRule="exact"/>
        <w:ind w:left="100" w:right="75"/>
        <w:jc w:val="both"/>
        <w:rPr>
          <w:rFonts w:ascii="Verdana" w:eastAsia="Verdana" w:hAnsi="Verdana" w:cs="Verdana"/>
          <w:sz w:val="20"/>
          <w:szCs w:val="20"/>
        </w:rPr>
      </w:pPr>
      <w:r>
        <w:rPr>
          <w:rFonts w:ascii="Verdana" w:hAnsi="Verdana"/>
          <w:sz w:val="20"/>
        </w:rPr>
        <w:t xml:space="preserve">Vzajemno učenje in utemeljevanje na dokazih sta bistvena, </w:t>
      </w:r>
      <w:r w:rsidR="00194C67">
        <w:rPr>
          <w:rFonts w:ascii="Verdana" w:hAnsi="Verdana"/>
          <w:sz w:val="20"/>
        </w:rPr>
        <w:t xml:space="preserve">zdaj </w:t>
      </w:r>
      <w:r>
        <w:rPr>
          <w:rFonts w:ascii="Verdana" w:hAnsi="Verdana"/>
          <w:sz w:val="20"/>
        </w:rPr>
        <w:t xml:space="preserve">ko se v državah članicah soočajo z izzivi, kot sta večanje neenakosti in trdovratna brezposelnost v Evropi. Podatki, zbrani v Monitorju, </w:t>
      </w:r>
      <w:r w:rsidR="00194C67">
        <w:rPr>
          <w:rFonts w:ascii="Verdana" w:hAnsi="Verdana"/>
          <w:sz w:val="20"/>
        </w:rPr>
        <w:t xml:space="preserve">lahko služijo za boljše razumevanje </w:t>
      </w:r>
      <w:r>
        <w:rPr>
          <w:rFonts w:ascii="Verdana" w:hAnsi="Verdana"/>
          <w:sz w:val="20"/>
        </w:rPr>
        <w:t xml:space="preserve">in </w:t>
      </w:r>
      <w:r w:rsidR="00194C67">
        <w:rPr>
          <w:rFonts w:ascii="Verdana" w:hAnsi="Verdana"/>
          <w:sz w:val="20"/>
        </w:rPr>
        <w:t xml:space="preserve">učinkovitejše odzivanje </w:t>
      </w:r>
      <w:r>
        <w:rPr>
          <w:rFonts w:ascii="Verdana" w:hAnsi="Verdana"/>
          <w:sz w:val="20"/>
        </w:rPr>
        <w:t>na zmeraj višje stopnje tveganja radikalnosti, če pomislimo na letošnja napada v Parizu in Kopenhagnu, ter tudi obvladovanje težavne situacije zaradi trenutne begunske krize z razvijanjem bolj odpre in kohezivne družbe.</w:t>
      </w:r>
    </w:p>
    <w:p w:rsidR="00EB0D07" w:rsidRDefault="007C28AC" w:rsidP="00194C67">
      <w:pPr>
        <w:spacing w:before="92" w:after="0" w:line="240" w:lineRule="auto"/>
        <w:ind w:left="100" w:right="-20"/>
        <w:jc w:val="both"/>
        <w:rPr>
          <w:rFonts w:ascii="Verdana" w:eastAsia="Verdana" w:hAnsi="Verdana" w:cs="Verdana"/>
          <w:sz w:val="20"/>
          <w:szCs w:val="20"/>
        </w:rPr>
      </w:pPr>
      <w:r>
        <w:rPr>
          <w:rFonts w:ascii="Verdana" w:hAnsi="Verdana"/>
          <w:b/>
          <w:sz w:val="20"/>
        </w:rPr>
        <w:t>Za več informacij</w:t>
      </w:r>
    </w:p>
    <w:p w:rsidR="00EB0D07" w:rsidRDefault="007C28AC">
      <w:pPr>
        <w:spacing w:before="98" w:after="0" w:line="240" w:lineRule="auto"/>
        <w:ind w:left="100" w:right="-20"/>
        <w:rPr>
          <w:rFonts w:ascii="Verdana" w:eastAsia="Verdana" w:hAnsi="Verdana" w:cs="Verdana"/>
          <w:sz w:val="20"/>
          <w:szCs w:val="20"/>
        </w:rPr>
      </w:pPr>
      <w:proofErr w:type="spellStart"/>
      <w:r>
        <w:rPr>
          <w:rFonts w:ascii="Verdana" w:hAnsi="Verdana"/>
          <w:color w:val="0000FF"/>
          <w:sz w:val="20"/>
          <w:u w:val="single" w:color="0000FF"/>
        </w:rPr>
        <w:t>Education</w:t>
      </w:r>
      <w:proofErr w:type="spellEnd"/>
      <w:r>
        <w:rPr>
          <w:rFonts w:ascii="Verdana" w:hAnsi="Verdana"/>
          <w:color w:val="0000FF"/>
          <w:sz w:val="20"/>
          <w:u w:val="single" w:color="0000FF"/>
        </w:rPr>
        <w:t xml:space="preserve"> </w:t>
      </w:r>
      <w:proofErr w:type="spellStart"/>
      <w:r>
        <w:rPr>
          <w:rFonts w:ascii="Verdana" w:hAnsi="Verdana"/>
          <w:color w:val="0000FF"/>
          <w:sz w:val="20"/>
          <w:u w:val="single" w:color="0000FF"/>
        </w:rPr>
        <w:t>and</w:t>
      </w:r>
      <w:proofErr w:type="spellEnd"/>
      <w:r>
        <w:rPr>
          <w:rFonts w:ascii="Verdana" w:hAnsi="Verdana"/>
          <w:color w:val="0000FF"/>
          <w:sz w:val="20"/>
          <w:u w:val="single" w:color="0000FF"/>
        </w:rPr>
        <w:t xml:space="preserve"> </w:t>
      </w:r>
      <w:proofErr w:type="spellStart"/>
      <w:r>
        <w:rPr>
          <w:rFonts w:ascii="Verdana" w:hAnsi="Verdana"/>
          <w:color w:val="0000FF"/>
          <w:sz w:val="20"/>
          <w:u w:val="single" w:color="0000FF"/>
        </w:rPr>
        <w:t>Training</w:t>
      </w:r>
      <w:proofErr w:type="spellEnd"/>
      <w:r>
        <w:rPr>
          <w:rFonts w:ascii="Verdana" w:hAnsi="Verdana"/>
          <w:color w:val="0000FF"/>
          <w:sz w:val="20"/>
          <w:u w:val="single" w:color="0000FF"/>
        </w:rPr>
        <w:t xml:space="preserve"> Monitor 2015</w:t>
      </w:r>
    </w:p>
    <w:p w:rsidR="00EB0D07" w:rsidRDefault="007C28AC">
      <w:pPr>
        <w:spacing w:before="98" w:after="0" w:line="240" w:lineRule="auto"/>
        <w:ind w:left="100" w:right="-20"/>
        <w:rPr>
          <w:rFonts w:ascii="Verdana" w:eastAsia="Verdana" w:hAnsi="Verdana" w:cs="Verdana"/>
          <w:sz w:val="20"/>
          <w:szCs w:val="20"/>
        </w:rPr>
      </w:pPr>
      <w:r>
        <w:rPr>
          <w:rFonts w:ascii="Verdana" w:hAnsi="Verdana"/>
          <w:color w:val="0000FF"/>
          <w:sz w:val="20"/>
          <w:u w:val="single" w:color="0000FF"/>
        </w:rPr>
        <w:t>Spletišče Monitor</w:t>
      </w:r>
    </w:p>
    <w:p w:rsidR="00EB0D07" w:rsidRDefault="00EB0D07">
      <w:pPr>
        <w:spacing w:after="0" w:line="240" w:lineRule="auto"/>
        <w:rPr>
          <w:rFonts w:ascii="Verdana" w:eastAsia="Verdana" w:hAnsi="Verdana" w:cs="Verdana"/>
          <w:sz w:val="20"/>
          <w:szCs w:val="20"/>
        </w:rPr>
        <w:sectPr w:rsidR="00EB0D07">
          <w:type w:val="continuous"/>
          <w:pgSz w:w="11900" w:h="16840"/>
          <w:pgMar w:top="920" w:right="620" w:bottom="280" w:left="620" w:header="708" w:footer="708" w:gutter="0"/>
          <w:cols w:space="708"/>
        </w:sectPr>
      </w:pPr>
    </w:p>
    <w:p w:rsidR="00EB0D07" w:rsidRDefault="007C28AC">
      <w:pPr>
        <w:spacing w:before="100" w:after="0" w:line="240" w:lineRule="auto"/>
        <w:ind w:left="100" w:right="-20"/>
        <w:rPr>
          <w:rFonts w:ascii="Times New Roman" w:eastAsia="Times New Roman" w:hAnsi="Times New Roman" w:cs="Times New Roman"/>
          <w:sz w:val="20"/>
          <w:szCs w:val="20"/>
        </w:rPr>
      </w:pPr>
      <w:r>
        <w:rPr>
          <w:noProof/>
          <w:lang w:bidi="ar-SA"/>
        </w:rPr>
        <w:lastRenderedPageBreak/>
        <w:drawing>
          <wp:inline distT="0" distB="0" distL="0" distR="0">
            <wp:extent cx="4238625" cy="6219825"/>
            <wp:effectExtent l="0" t="0" r="9525" b="952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38625" cy="6219825"/>
                    </a:xfrm>
                    <a:prstGeom prst="rect">
                      <a:avLst/>
                    </a:prstGeom>
                    <a:noFill/>
                    <a:ln>
                      <a:noFill/>
                    </a:ln>
                  </pic:spPr>
                </pic:pic>
              </a:graphicData>
            </a:graphic>
          </wp:inline>
        </w:drawing>
      </w:r>
    </w:p>
    <w:p w:rsidR="00EB0D07" w:rsidRDefault="00EB0D07">
      <w:pPr>
        <w:spacing w:before="8" w:after="0" w:line="100" w:lineRule="exact"/>
        <w:rPr>
          <w:sz w:val="10"/>
          <w:szCs w:val="10"/>
        </w:rPr>
      </w:pPr>
    </w:p>
    <w:p w:rsidR="00EB0D07" w:rsidRDefault="007C28AC">
      <w:pPr>
        <w:spacing w:before="24" w:after="0" w:line="236" w:lineRule="exact"/>
        <w:ind w:right="100"/>
        <w:jc w:val="right"/>
        <w:rPr>
          <w:rFonts w:ascii="Verdana" w:eastAsia="Verdana" w:hAnsi="Verdana" w:cs="Verdana"/>
          <w:sz w:val="20"/>
          <w:szCs w:val="20"/>
        </w:rPr>
      </w:pPr>
      <w:r>
        <w:rPr>
          <w:noProof/>
          <w:lang w:bidi="ar-SA"/>
        </w:rPr>
        <mc:AlternateContent>
          <mc:Choice Requires="wpg">
            <w:drawing>
              <wp:anchor distT="0" distB="0" distL="114300" distR="114300" simplePos="0" relativeHeight="251657728" behindDoc="1" locked="0" layoutInCell="1" allowOverlap="1">
                <wp:simplePos x="0" y="0"/>
                <wp:positionH relativeFrom="page">
                  <wp:posOffset>444500</wp:posOffset>
                </wp:positionH>
                <wp:positionV relativeFrom="paragraph">
                  <wp:posOffset>333375</wp:posOffset>
                </wp:positionV>
                <wp:extent cx="6667500" cy="885190"/>
                <wp:effectExtent l="6350" t="0" r="3175" b="63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885190"/>
                          <a:chOff x="700" y="525"/>
                          <a:chExt cx="10500" cy="1394"/>
                        </a:xfrm>
                      </wpg:grpSpPr>
                      <wpg:grpSp>
                        <wpg:cNvPr id="13" name="Group 19"/>
                        <wpg:cNvGrpSpPr>
                          <a:grpSpLocks/>
                        </wpg:cNvGrpSpPr>
                        <wpg:grpSpPr bwMode="auto">
                          <a:xfrm>
                            <a:off x="710" y="535"/>
                            <a:ext cx="2" cy="1374"/>
                            <a:chOff x="710" y="535"/>
                            <a:chExt cx="2" cy="1374"/>
                          </a:xfrm>
                        </wpg:grpSpPr>
                        <wps:wsp>
                          <wps:cNvPr id="14" name="Freeform 20"/>
                          <wps:cNvSpPr>
                            <a:spLocks/>
                          </wps:cNvSpPr>
                          <wps:spPr bwMode="auto">
                            <a:xfrm>
                              <a:off x="710" y="535"/>
                              <a:ext cx="2" cy="1374"/>
                            </a:xfrm>
                            <a:custGeom>
                              <a:avLst/>
                              <a:gdLst>
                                <a:gd name="T0" fmla="+- 0 535 535"/>
                                <a:gd name="T1" fmla="*/ 535 h 1374"/>
                                <a:gd name="T2" fmla="+- 0 1909 535"/>
                                <a:gd name="T3" fmla="*/ 1909 h 1374"/>
                              </a:gdLst>
                              <a:ahLst/>
                              <a:cxnLst>
                                <a:cxn ang="0">
                                  <a:pos x="0" y="T1"/>
                                </a:cxn>
                                <a:cxn ang="0">
                                  <a:pos x="0" y="T3"/>
                                </a:cxn>
                              </a:cxnLst>
                              <a:rect l="0" t="0" r="r" b="b"/>
                              <a:pathLst>
                                <a:path h="1374">
                                  <a:moveTo>
                                    <a:pt x="0" y="0"/>
                                  </a:moveTo>
                                  <a:lnTo>
                                    <a:pt x="0" y="137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17"/>
                        <wpg:cNvGrpSpPr>
                          <a:grpSpLocks/>
                        </wpg:cNvGrpSpPr>
                        <wpg:grpSpPr bwMode="auto">
                          <a:xfrm>
                            <a:off x="710" y="1909"/>
                            <a:ext cx="10480" cy="2"/>
                            <a:chOff x="710" y="1909"/>
                            <a:chExt cx="10480" cy="2"/>
                          </a:xfrm>
                        </wpg:grpSpPr>
                        <wps:wsp>
                          <wps:cNvPr id="16" name="Freeform 18"/>
                          <wps:cNvSpPr>
                            <a:spLocks/>
                          </wps:cNvSpPr>
                          <wps:spPr bwMode="auto">
                            <a:xfrm>
                              <a:off x="710" y="1909"/>
                              <a:ext cx="10480" cy="2"/>
                            </a:xfrm>
                            <a:custGeom>
                              <a:avLst/>
                              <a:gdLst>
                                <a:gd name="T0" fmla="+- 0 710 710"/>
                                <a:gd name="T1" fmla="*/ T0 w 10480"/>
                                <a:gd name="T2" fmla="+- 0 11190 710"/>
                                <a:gd name="T3" fmla="*/ T2 w 10480"/>
                              </a:gdLst>
                              <a:ahLst/>
                              <a:cxnLst>
                                <a:cxn ang="0">
                                  <a:pos x="T1" y="0"/>
                                </a:cxn>
                                <a:cxn ang="0">
                                  <a:pos x="T3" y="0"/>
                                </a:cxn>
                              </a:cxnLst>
                              <a:rect l="0" t="0" r="r" b="b"/>
                              <a:pathLst>
                                <a:path w="10480">
                                  <a:moveTo>
                                    <a:pt x="0" y="0"/>
                                  </a:moveTo>
                                  <a:lnTo>
                                    <a:pt x="10480" y="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15"/>
                        <wpg:cNvGrpSpPr>
                          <a:grpSpLocks/>
                        </wpg:cNvGrpSpPr>
                        <wpg:grpSpPr bwMode="auto">
                          <a:xfrm>
                            <a:off x="11190" y="535"/>
                            <a:ext cx="2" cy="1374"/>
                            <a:chOff x="11190" y="535"/>
                            <a:chExt cx="2" cy="1374"/>
                          </a:xfrm>
                        </wpg:grpSpPr>
                        <wps:wsp>
                          <wps:cNvPr id="18" name="Freeform 16"/>
                          <wps:cNvSpPr>
                            <a:spLocks/>
                          </wps:cNvSpPr>
                          <wps:spPr bwMode="auto">
                            <a:xfrm>
                              <a:off x="11190" y="535"/>
                              <a:ext cx="2" cy="1374"/>
                            </a:xfrm>
                            <a:custGeom>
                              <a:avLst/>
                              <a:gdLst>
                                <a:gd name="T0" fmla="+- 0 1909 535"/>
                                <a:gd name="T1" fmla="*/ 1909 h 1374"/>
                                <a:gd name="T2" fmla="+- 0 535 535"/>
                                <a:gd name="T3" fmla="*/ 535 h 1374"/>
                              </a:gdLst>
                              <a:ahLst/>
                              <a:cxnLst>
                                <a:cxn ang="0">
                                  <a:pos x="0" y="T1"/>
                                </a:cxn>
                                <a:cxn ang="0">
                                  <a:pos x="0" y="T3"/>
                                </a:cxn>
                              </a:cxnLst>
                              <a:rect l="0" t="0" r="r" b="b"/>
                              <a:pathLst>
                                <a:path h="1374">
                                  <a:moveTo>
                                    <a:pt x="0" y="1374"/>
                                  </a:moveTo>
                                  <a:lnTo>
                                    <a:pt x="0" y="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13"/>
                        <wpg:cNvGrpSpPr>
                          <a:grpSpLocks/>
                        </wpg:cNvGrpSpPr>
                        <wpg:grpSpPr bwMode="auto">
                          <a:xfrm>
                            <a:off x="710" y="535"/>
                            <a:ext cx="10480" cy="2"/>
                            <a:chOff x="710" y="535"/>
                            <a:chExt cx="10480" cy="2"/>
                          </a:xfrm>
                        </wpg:grpSpPr>
                        <wps:wsp>
                          <wps:cNvPr id="20" name="Freeform 14"/>
                          <wps:cNvSpPr>
                            <a:spLocks/>
                          </wps:cNvSpPr>
                          <wps:spPr bwMode="auto">
                            <a:xfrm>
                              <a:off x="710" y="535"/>
                              <a:ext cx="10480" cy="2"/>
                            </a:xfrm>
                            <a:custGeom>
                              <a:avLst/>
                              <a:gdLst>
                                <a:gd name="T0" fmla="+- 0 11190 710"/>
                                <a:gd name="T1" fmla="*/ T0 w 10480"/>
                                <a:gd name="T2" fmla="+- 0 710 710"/>
                                <a:gd name="T3" fmla="*/ T2 w 10480"/>
                              </a:gdLst>
                              <a:ahLst/>
                              <a:cxnLst>
                                <a:cxn ang="0">
                                  <a:pos x="T1" y="0"/>
                                </a:cxn>
                                <a:cxn ang="0">
                                  <a:pos x="T3" y="0"/>
                                </a:cxn>
                              </a:cxnLst>
                              <a:rect l="0" t="0" r="r" b="b"/>
                              <a:pathLst>
                                <a:path w="10480">
                                  <a:moveTo>
                                    <a:pt x="10480" y="0"/>
                                  </a:moveTo>
                                  <a:lnTo>
                                    <a:pt x="0" y="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D28B6E2" id="Group 12" o:spid="_x0000_s1026" style="position:absolute;margin-left:35pt;margin-top:26.25pt;width:525pt;height:69.7pt;z-index:-251658752;mso-position-horizontal-relative:page" coordorigin="700,525" coordsize="10500,1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">
                <v:group id="Group 19" o:spid="_x0000_s1027" style="position:absolute;left:710;top:535;width:2;height:1374" coordorigin="710,535" coordsize="2,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20" o:spid="_x0000_s1028" style="position:absolute;left:710;top:535;width:2;height:1374;visibility:visible;mso-wrap-style:square;v-text-anchor:top" coordsize="2,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sBJMMA&#10;AADbAAAADwAAAGRycy9kb3ducmV2LnhtbERPS2vCQBC+F/wPywje6sYHIqmrSKTYSyFGwR6n2WkS&#10;zc6m2VXTf+8WBG/z8T1nsepMLa7UusqygtEwAkGcW11xoeCwf3+dg3AeWWNtmRT8kYPVsveywFjb&#10;G+/omvlChBB2MSoovW9iKV1ekkE3tA1x4H5sa9AH2BZSt3gL4aaW4yiaSYMVh4YSG0pKys/ZxSiY&#10;/O6+p5vj12U7SZO9SdPs9JlkSg363foNhKfOP8UP94cO86fw/0s4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sBJMMAAADbAAAADwAAAAAAAAAAAAAAAACYAgAAZHJzL2Rv&#10;d25yZXYueG1sUEsFBgAAAAAEAAQA9QAAAIgDAAAAAA==&#10;" path="m,l,1374e" filled="f" strokecolor="#7f7f7f" strokeweight="1pt">
                    <v:path arrowok="t" o:connecttype="custom" o:connectlocs="0,535;0,1909" o:connectangles="0,0"/>
                  </v:shape>
                </v:group>
                <v:group id="Group 17" o:spid="_x0000_s1029" style="position:absolute;left:710;top:1909;width:10480;height:2" coordorigin="710,1909" coordsize="10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30" style="position:absolute;left:710;top:1909;width:10480;height:2;visibility:visible;mso-wrap-style:square;v-text-anchor:top" coordsize="10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T8NsEA&#10;AADbAAAADwAAAGRycy9kb3ducmV2LnhtbERPzWqDQBC+F/IOyxRyq2t7EDHZBClNCSm0VH2AwZ2o&#10;xJ2V3U00b98tFHqbj+93tvvFjOJGzg+WFTwnKQji1uqBOwVNfXjKQfiArHG0TAru5GG/Wz1ssdB2&#10;5m+6VaETMYR9gQr6EKZCSt/2ZNAndiKO3Nk6gyFC10ntcI7hZpQvaZpJgwPHhh4neu2pvVRXo+Dz&#10;4/1Ul4O7prbJ7Zxns/x6K5VaPy7lBkSgJfyL/9xHHedn8PtLPEDu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U/DbBAAAA2wAAAA8AAAAAAAAAAAAAAAAAmAIAAGRycy9kb3du&#10;cmV2LnhtbFBLBQYAAAAABAAEAPUAAACGAwAAAAA=&#10;" path="m,l10480,e" filled="f" strokecolor="#7f7f7f" strokeweight="1pt">
                    <v:path arrowok="t" o:connecttype="custom" o:connectlocs="0,0;10480,0" o:connectangles="0,0"/>
                  </v:shape>
                </v:group>
                <v:group id="Group 15" o:spid="_x0000_s1031" style="position:absolute;left:11190;top:535;width:2;height:1374" coordorigin="11190,535" coordsize="2,13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shape id="Freeform 16" o:spid="_x0000_s1032" style="position:absolute;left:11190;top:535;width:2;height:1374;visibility:visible;mso-wrap-style:square;v-text-anchor:top" coordsize="2,137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LIcYA&#10;AADbAAAADwAAAGRycy9kb3ducmV2LnhtbESPQWvCQBCF74X+h2UKvdVNaykluoqkiL0UYizoccyO&#10;STQ7m2ZXTf9951DwNsN789430/ngWnWhPjSeDTyPElDEpbcNVwa+N8und1AhIltsPZOBXwown93f&#10;TTG1/spruhSxUhLCIUUDdYxdqnUoa3IYRr4jFu3ge4dR1r7StserhLtWvyTJm3bYsDTU2FFWU3kq&#10;zs7A+Ge9f/3Y7s6rcZ5tXJ4Xx6+sMObxYVhMQEUa4s38f/1pBV9g5RcZQ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kYLIcYAAADbAAAADwAAAAAAAAAAAAAAAACYAgAAZHJz&#10;L2Rvd25yZXYueG1sUEsFBgAAAAAEAAQA9QAAAIsDAAAAAA==&#10;" path="m,1374l,e" filled="f" strokecolor="#7f7f7f" strokeweight="1pt">
                    <v:path arrowok="t" o:connecttype="custom" o:connectlocs="0,1909;0,535" o:connectangles="0,0"/>
                  </v:shape>
                </v:group>
                <v:group id="Group 13" o:spid="_x0000_s1033" style="position:absolute;left:710;top:535;width:10480;height:2" coordorigin="710,535" coordsize="10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4" o:spid="_x0000_s1034" style="position:absolute;left:710;top:535;width:10480;height:2;visibility:visible;mso-wrap-style:square;v-text-anchor:top" coordsize="10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0LZL4A&#10;AADbAAAADwAAAGRycy9kb3ducmV2LnhtbERPy4rCMBTdD/gP4QruxlQXUqpRiqiIA4qPD7g017bY&#10;3JQk2vr3ZjHg8nDei1VvGvEi52vLCibjBARxYXXNpYLbdfubgvABWWNjmRS8ycNqOfhZYKZtx2d6&#10;XUIpYgj7DBVUIbSZlL6oyKAf25Y4cnfrDIYIXSm1wy6Gm0ZOk2QmDdYcGypsaV1R8bg8jYLj3+5w&#10;zWv3TOwttV066+Rpkys1Gvb5HESgPnzF/+69VjCN6+OX+APk8g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tdC2S+AAAA2wAAAA8AAAAAAAAAAAAAAAAAmAIAAGRycy9kb3ducmV2&#10;LnhtbFBLBQYAAAAABAAEAPUAAACDAwAAAAA=&#10;" path="m10480,l,e" filled="f" strokecolor="#7f7f7f" strokeweight="1pt">
                    <v:path arrowok="t" o:connecttype="custom" o:connectlocs="10480,0;0,0" o:connectangles="0,0"/>
                  </v:shape>
                </v:group>
                <w10:wrap anchorx="page"/>
              </v:group>
            </w:pict>
          </mc:Fallback>
        </mc:AlternateContent>
      </w:r>
      <w:r>
        <w:rPr>
          <w:rFonts w:ascii="Verdana" w:hAnsi="Verdana"/>
          <w:position w:val="-1"/>
          <w:sz w:val="20"/>
        </w:rPr>
        <w:t>IP/15/6052</w:t>
      </w:r>
    </w:p>
    <w:p w:rsidR="00EB0D07" w:rsidRDefault="00EB0D07">
      <w:pPr>
        <w:spacing w:before="3" w:after="0" w:line="110" w:lineRule="exact"/>
        <w:rPr>
          <w:sz w:val="11"/>
          <w:szCs w:val="11"/>
        </w:rPr>
      </w:pPr>
    </w:p>
    <w:p w:rsidR="00EB0D07" w:rsidRDefault="00EB0D07">
      <w:pPr>
        <w:spacing w:after="0" w:line="200" w:lineRule="exact"/>
        <w:rPr>
          <w:sz w:val="20"/>
          <w:szCs w:val="20"/>
        </w:rPr>
      </w:pPr>
    </w:p>
    <w:p w:rsidR="00EB0D07" w:rsidRDefault="007C28AC">
      <w:pPr>
        <w:spacing w:before="24" w:after="0" w:line="240" w:lineRule="auto"/>
        <w:ind w:left="200" w:right="-20"/>
        <w:rPr>
          <w:rFonts w:ascii="Verdana" w:eastAsia="Verdana" w:hAnsi="Verdana" w:cs="Verdana"/>
          <w:sz w:val="20"/>
          <w:szCs w:val="20"/>
        </w:rPr>
      </w:pPr>
      <w:r>
        <w:rPr>
          <w:rFonts w:ascii="Verdana" w:hAnsi="Verdana"/>
          <w:sz w:val="20"/>
        </w:rPr>
        <w:t>Stika za novinarje:</w:t>
      </w:r>
    </w:p>
    <w:p w:rsidR="00EB0D07" w:rsidRDefault="007C28AC">
      <w:pPr>
        <w:spacing w:before="66" w:after="0" w:line="240" w:lineRule="exact"/>
        <w:ind w:left="500" w:right="5890"/>
        <w:rPr>
          <w:rFonts w:ascii="Verdana" w:eastAsia="Verdana" w:hAnsi="Verdana" w:cs="Verdana"/>
          <w:sz w:val="20"/>
          <w:szCs w:val="20"/>
        </w:rPr>
      </w:pPr>
      <w:proofErr w:type="spellStart"/>
      <w:r>
        <w:rPr>
          <w:rFonts w:ascii="Verdana" w:hAnsi="Verdana"/>
          <w:color w:val="0000FF"/>
          <w:sz w:val="20"/>
        </w:rPr>
        <w:t>Nathalie</w:t>
      </w:r>
      <w:proofErr w:type="spellEnd"/>
      <w:r>
        <w:rPr>
          <w:rFonts w:ascii="Verdana" w:hAnsi="Verdana"/>
          <w:color w:val="0000FF"/>
          <w:sz w:val="20"/>
        </w:rPr>
        <w:t xml:space="preserve"> VANDYSTADT</w:t>
      </w:r>
      <w:r>
        <w:rPr>
          <w:rFonts w:ascii="Verdana" w:hAnsi="Verdana"/>
          <w:color w:val="0000FF"/>
          <w:sz w:val="20"/>
          <w:u w:val="single" w:color="0000FF"/>
        </w:rPr>
        <w:t xml:space="preserve"> </w:t>
      </w:r>
      <w:r>
        <w:rPr>
          <w:rFonts w:ascii="Verdana" w:hAnsi="Verdana"/>
          <w:color w:val="000000"/>
          <w:sz w:val="20"/>
        </w:rPr>
        <w:t xml:space="preserve">(+32 2 296 70 83) </w:t>
      </w:r>
      <w:r>
        <w:rPr>
          <w:rFonts w:ascii="Verdana" w:hAnsi="Verdana"/>
          <w:color w:val="0000FF"/>
          <w:sz w:val="20"/>
        </w:rPr>
        <w:t>Mirna TALKO</w:t>
      </w:r>
      <w:r>
        <w:rPr>
          <w:rFonts w:ascii="Verdana" w:hAnsi="Verdana"/>
          <w:color w:val="0000FF"/>
          <w:sz w:val="20"/>
          <w:u w:val="single" w:color="0000FF"/>
        </w:rPr>
        <w:t xml:space="preserve"> </w:t>
      </w:r>
      <w:r>
        <w:rPr>
          <w:rFonts w:ascii="Verdana" w:hAnsi="Verdana"/>
          <w:color w:val="000000"/>
          <w:sz w:val="20"/>
        </w:rPr>
        <w:t>(+32 2 298 72 78)</w:t>
      </w:r>
    </w:p>
    <w:p w:rsidR="00EB0D07" w:rsidRDefault="00EB0D07">
      <w:pPr>
        <w:spacing w:before="1" w:after="0" w:line="110" w:lineRule="exact"/>
        <w:rPr>
          <w:sz w:val="11"/>
          <w:szCs w:val="11"/>
        </w:rPr>
      </w:pPr>
    </w:p>
    <w:p w:rsidR="00EB0D07" w:rsidRDefault="00194C67">
      <w:pPr>
        <w:spacing w:after="0" w:line="236" w:lineRule="exact"/>
        <w:ind w:left="200" w:right="-20"/>
        <w:rPr>
          <w:rFonts w:ascii="Verdana" w:eastAsia="Verdana" w:hAnsi="Verdana" w:cs="Verdana"/>
          <w:sz w:val="20"/>
          <w:szCs w:val="20"/>
        </w:rPr>
      </w:pPr>
      <w:r>
        <w:t>Stik za ostale</w:t>
      </w:r>
      <w:r w:rsidR="007C28AC">
        <w:rPr>
          <w:rFonts w:ascii="Verdana" w:hAnsi="Verdana"/>
          <w:position w:val="-1"/>
          <w:sz w:val="20"/>
        </w:rPr>
        <w:t xml:space="preserve">: </w:t>
      </w:r>
      <w:proofErr w:type="spellStart"/>
      <w:r w:rsidR="007C28AC">
        <w:rPr>
          <w:rFonts w:ascii="Verdana" w:hAnsi="Verdana"/>
          <w:color w:val="0000FF"/>
          <w:position w:val="-1"/>
          <w:sz w:val="20"/>
        </w:rPr>
        <w:t>Europe</w:t>
      </w:r>
      <w:proofErr w:type="spellEnd"/>
      <w:r w:rsidR="007C28AC">
        <w:rPr>
          <w:rFonts w:ascii="Verdana" w:hAnsi="Verdana"/>
          <w:color w:val="0000FF"/>
          <w:position w:val="-1"/>
          <w:sz w:val="20"/>
        </w:rPr>
        <w:t xml:space="preserve"> </w:t>
      </w:r>
      <w:proofErr w:type="spellStart"/>
      <w:r w:rsidR="007C28AC">
        <w:rPr>
          <w:rFonts w:ascii="Verdana" w:hAnsi="Verdana"/>
          <w:color w:val="0000FF"/>
          <w:position w:val="-1"/>
          <w:sz w:val="20"/>
        </w:rPr>
        <w:t>Direct</w:t>
      </w:r>
      <w:proofErr w:type="spellEnd"/>
      <w:r w:rsidR="007C28AC">
        <w:rPr>
          <w:rFonts w:ascii="Verdana" w:hAnsi="Verdana"/>
          <w:color w:val="0000FF"/>
          <w:position w:val="-1"/>
          <w:sz w:val="20"/>
          <w:u w:val="single" w:color="0000FF"/>
        </w:rPr>
        <w:t xml:space="preserve"> </w:t>
      </w:r>
      <w:r w:rsidR="007C28AC">
        <w:rPr>
          <w:rFonts w:ascii="Verdana" w:hAnsi="Verdana"/>
          <w:position w:val="-1"/>
          <w:sz w:val="20"/>
        </w:rPr>
        <w:t xml:space="preserve">po telefonu </w:t>
      </w:r>
      <w:r w:rsidR="007C28AC">
        <w:rPr>
          <w:rFonts w:ascii="Verdana" w:hAnsi="Verdana"/>
          <w:color w:val="0000FF"/>
          <w:position w:val="-1"/>
          <w:sz w:val="20"/>
        </w:rPr>
        <w:t>00 800 67 89 10 11</w:t>
      </w:r>
      <w:r w:rsidR="007C28AC">
        <w:rPr>
          <w:rFonts w:ascii="Verdana" w:hAnsi="Verdana"/>
          <w:color w:val="0000FF"/>
          <w:position w:val="-1"/>
          <w:sz w:val="20"/>
          <w:u w:val="single" w:color="0000FF"/>
        </w:rPr>
        <w:t xml:space="preserve"> </w:t>
      </w:r>
      <w:r w:rsidR="007C28AC">
        <w:rPr>
          <w:rFonts w:ascii="Verdana" w:hAnsi="Verdana"/>
          <w:color w:val="000000"/>
          <w:position w:val="-1"/>
          <w:sz w:val="20"/>
        </w:rPr>
        <w:t xml:space="preserve">ali z </w:t>
      </w:r>
      <w:r w:rsidR="007C28AC">
        <w:rPr>
          <w:rFonts w:ascii="Verdana" w:hAnsi="Verdana"/>
          <w:color w:val="0000FF"/>
          <w:position w:val="-1"/>
          <w:sz w:val="20"/>
          <w:u w:val="single" w:color="0000FF"/>
        </w:rPr>
        <w:t>e-pošto</w:t>
      </w:r>
    </w:p>
    <w:p w:rsidR="00EB0D07" w:rsidRDefault="00EB0D07">
      <w:pPr>
        <w:spacing w:after="0" w:line="200" w:lineRule="exact"/>
        <w:rPr>
          <w:sz w:val="20"/>
          <w:szCs w:val="20"/>
        </w:rPr>
      </w:pPr>
    </w:p>
    <w:p w:rsidR="00EB0D07" w:rsidRDefault="00D80F9B">
      <w:pPr>
        <w:spacing w:before="14" w:after="0" w:line="260" w:lineRule="exact"/>
        <w:rPr>
          <w:sz w:val="26"/>
          <w:szCs w:val="26"/>
        </w:rPr>
      </w:pPr>
      <w:r>
        <w:rPr>
          <w:noProof/>
          <w:lang w:bidi="ar-SA"/>
        </w:rPr>
        <mc:AlternateContent>
          <mc:Choice Requires="wpg">
            <w:drawing>
              <wp:anchor distT="0" distB="0" distL="114300" distR="114300" simplePos="0" relativeHeight="251658752" behindDoc="1" locked="0" layoutInCell="1" allowOverlap="1" wp14:anchorId="3F364555" wp14:editId="200EA120">
                <wp:simplePos x="0" y="0"/>
                <wp:positionH relativeFrom="page">
                  <wp:posOffset>457200</wp:posOffset>
                </wp:positionH>
                <wp:positionV relativeFrom="paragraph">
                  <wp:posOffset>142240</wp:posOffset>
                </wp:positionV>
                <wp:extent cx="6667500" cy="723265"/>
                <wp:effectExtent l="0" t="0" r="19050" b="1968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67500" cy="723265"/>
                          <a:chOff x="700" y="662"/>
                          <a:chExt cx="10500" cy="854"/>
                        </a:xfrm>
                      </wpg:grpSpPr>
                      <wpg:grpSp>
                        <wpg:cNvPr id="4" name="Group 10"/>
                        <wpg:cNvGrpSpPr>
                          <a:grpSpLocks/>
                        </wpg:cNvGrpSpPr>
                        <wpg:grpSpPr bwMode="auto">
                          <a:xfrm>
                            <a:off x="710" y="672"/>
                            <a:ext cx="2" cy="834"/>
                            <a:chOff x="710" y="672"/>
                            <a:chExt cx="2" cy="834"/>
                          </a:xfrm>
                        </wpg:grpSpPr>
                        <wps:wsp>
                          <wps:cNvPr id="5" name="Freeform 11"/>
                          <wps:cNvSpPr>
                            <a:spLocks/>
                          </wps:cNvSpPr>
                          <wps:spPr bwMode="auto">
                            <a:xfrm>
                              <a:off x="710" y="672"/>
                              <a:ext cx="2" cy="834"/>
                            </a:xfrm>
                            <a:custGeom>
                              <a:avLst/>
                              <a:gdLst>
                                <a:gd name="T0" fmla="+- 0 672 672"/>
                                <a:gd name="T1" fmla="*/ 672 h 834"/>
                                <a:gd name="T2" fmla="+- 0 1506 672"/>
                                <a:gd name="T3" fmla="*/ 1506 h 834"/>
                              </a:gdLst>
                              <a:ahLst/>
                              <a:cxnLst>
                                <a:cxn ang="0">
                                  <a:pos x="0" y="T1"/>
                                </a:cxn>
                                <a:cxn ang="0">
                                  <a:pos x="0" y="T3"/>
                                </a:cxn>
                              </a:cxnLst>
                              <a:rect l="0" t="0" r="r" b="b"/>
                              <a:pathLst>
                                <a:path h="834">
                                  <a:moveTo>
                                    <a:pt x="0" y="0"/>
                                  </a:moveTo>
                                  <a:lnTo>
                                    <a:pt x="0" y="834"/>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 name="Group 8"/>
                        <wpg:cNvGrpSpPr>
                          <a:grpSpLocks/>
                        </wpg:cNvGrpSpPr>
                        <wpg:grpSpPr bwMode="auto">
                          <a:xfrm>
                            <a:off x="710" y="1506"/>
                            <a:ext cx="10480" cy="2"/>
                            <a:chOff x="710" y="1506"/>
                            <a:chExt cx="10480" cy="2"/>
                          </a:xfrm>
                        </wpg:grpSpPr>
                        <wps:wsp>
                          <wps:cNvPr id="7" name="Freeform 9"/>
                          <wps:cNvSpPr>
                            <a:spLocks/>
                          </wps:cNvSpPr>
                          <wps:spPr bwMode="auto">
                            <a:xfrm>
                              <a:off x="710" y="1506"/>
                              <a:ext cx="10480" cy="2"/>
                            </a:xfrm>
                            <a:custGeom>
                              <a:avLst/>
                              <a:gdLst>
                                <a:gd name="T0" fmla="+- 0 710 710"/>
                                <a:gd name="T1" fmla="*/ T0 w 10480"/>
                                <a:gd name="T2" fmla="+- 0 11190 710"/>
                                <a:gd name="T3" fmla="*/ T2 w 10480"/>
                              </a:gdLst>
                              <a:ahLst/>
                              <a:cxnLst>
                                <a:cxn ang="0">
                                  <a:pos x="T1" y="0"/>
                                </a:cxn>
                                <a:cxn ang="0">
                                  <a:pos x="T3" y="0"/>
                                </a:cxn>
                              </a:cxnLst>
                              <a:rect l="0" t="0" r="r" b="b"/>
                              <a:pathLst>
                                <a:path w="10480">
                                  <a:moveTo>
                                    <a:pt x="0" y="0"/>
                                  </a:moveTo>
                                  <a:lnTo>
                                    <a:pt x="10480" y="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6"/>
                        <wpg:cNvGrpSpPr>
                          <a:grpSpLocks/>
                        </wpg:cNvGrpSpPr>
                        <wpg:grpSpPr bwMode="auto">
                          <a:xfrm>
                            <a:off x="11190" y="672"/>
                            <a:ext cx="2" cy="834"/>
                            <a:chOff x="11190" y="672"/>
                            <a:chExt cx="2" cy="834"/>
                          </a:xfrm>
                        </wpg:grpSpPr>
                        <wps:wsp>
                          <wps:cNvPr id="9" name="Freeform 7"/>
                          <wps:cNvSpPr>
                            <a:spLocks/>
                          </wps:cNvSpPr>
                          <wps:spPr bwMode="auto">
                            <a:xfrm>
                              <a:off x="11190" y="672"/>
                              <a:ext cx="2" cy="834"/>
                            </a:xfrm>
                            <a:custGeom>
                              <a:avLst/>
                              <a:gdLst>
                                <a:gd name="T0" fmla="+- 0 1506 672"/>
                                <a:gd name="T1" fmla="*/ 1506 h 834"/>
                                <a:gd name="T2" fmla="+- 0 672 672"/>
                                <a:gd name="T3" fmla="*/ 672 h 834"/>
                              </a:gdLst>
                              <a:ahLst/>
                              <a:cxnLst>
                                <a:cxn ang="0">
                                  <a:pos x="0" y="T1"/>
                                </a:cxn>
                                <a:cxn ang="0">
                                  <a:pos x="0" y="T3"/>
                                </a:cxn>
                              </a:cxnLst>
                              <a:rect l="0" t="0" r="r" b="b"/>
                              <a:pathLst>
                                <a:path h="834">
                                  <a:moveTo>
                                    <a:pt x="0" y="834"/>
                                  </a:moveTo>
                                  <a:lnTo>
                                    <a:pt x="0" y="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4"/>
                        <wpg:cNvGrpSpPr>
                          <a:grpSpLocks/>
                        </wpg:cNvGrpSpPr>
                        <wpg:grpSpPr bwMode="auto">
                          <a:xfrm>
                            <a:off x="710" y="672"/>
                            <a:ext cx="10480" cy="2"/>
                            <a:chOff x="710" y="672"/>
                            <a:chExt cx="10480" cy="2"/>
                          </a:xfrm>
                        </wpg:grpSpPr>
                        <wps:wsp>
                          <wps:cNvPr id="11" name="Freeform 5"/>
                          <wps:cNvSpPr>
                            <a:spLocks/>
                          </wps:cNvSpPr>
                          <wps:spPr bwMode="auto">
                            <a:xfrm>
                              <a:off x="710" y="672"/>
                              <a:ext cx="10480" cy="2"/>
                            </a:xfrm>
                            <a:custGeom>
                              <a:avLst/>
                              <a:gdLst>
                                <a:gd name="T0" fmla="+- 0 11190 710"/>
                                <a:gd name="T1" fmla="*/ T0 w 10480"/>
                                <a:gd name="T2" fmla="+- 0 710 710"/>
                                <a:gd name="T3" fmla="*/ T2 w 10480"/>
                              </a:gdLst>
                              <a:ahLst/>
                              <a:cxnLst>
                                <a:cxn ang="0">
                                  <a:pos x="T1" y="0"/>
                                </a:cxn>
                                <a:cxn ang="0">
                                  <a:pos x="T3" y="0"/>
                                </a:cxn>
                              </a:cxnLst>
                              <a:rect l="0" t="0" r="r" b="b"/>
                              <a:pathLst>
                                <a:path w="10480">
                                  <a:moveTo>
                                    <a:pt x="10480" y="0"/>
                                  </a:moveTo>
                                  <a:lnTo>
                                    <a:pt x="0" y="0"/>
                                  </a:lnTo>
                                </a:path>
                              </a:pathLst>
                            </a:custGeom>
                            <a:noFill/>
                            <a:ln w="12700">
                              <a:solidFill>
                                <a:srgbClr val="7F7F7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36pt;margin-top:11.2pt;width:525pt;height:56.95pt;z-index:-251657728;mso-position-horizontal-relative:page" coordorigin="700,662" coordsize="10500,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">
                <v:group id="Group 10" o:spid="_x0000_s1027" style="position:absolute;left:710;top:672;width:2;height:834" coordorigin="710,672" coordsize="2,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Freeform 11" o:spid="_x0000_s1028" style="position:absolute;left:710;top:672;width:2;height:834;visibility:visible;mso-wrap-style:square;v-text-anchor:top" coordsize="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yFvsMA&#10;AADaAAAADwAAAGRycy9kb3ducmV2LnhtbESPX2vCQBDE3wv9DscW+lYvVZQSPaUUFaUgmPqnj0tu&#10;m4Rm90LuqvHb9wTBx2FmfsNMZh3X6kStr5wYeO0loEhyZyspDOy+Fi9voHxAsVg7IQMX8jCbPj5M&#10;MLXuLFs6ZaFQESI+RQNlCE2qtc9LYvQ915BE78e1jCHKttC2xXOEc637STLSjJXEhRIb+igp/83+&#10;2ADTPiyPGz4sBsflt/1czznTc2Oen7r3MahAXbiHb+2VNTCE65V4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ByFvsMAAADaAAAADwAAAAAAAAAAAAAAAACYAgAAZHJzL2Rv&#10;d25yZXYueG1sUEsFBgAAAAAEAAQA9QAAAIgDAAAAAA==&#10;" path="m,l,834e" filled="f" strokecolor="#7f7f7f" strokeweight="1pt">
                    <v:path arrowok="t" o:connecttype="custom" o:connectlocs="0,672;0,1506" o:connectangles="0,0"/>
                  </v:shape>
                </v:group>
                <v:group id="Group 8" o:spid="_x0000_s1029" style="position:absolute;left:710;top:1506;width:10480;height:2" coordorigin="710,1506" coordsize="10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 id="Freeform 9" o:spid="_x0000_s1030" style="position:absolute;left:710;top:1506;width:10480;height:2;visibility:visible;mso-wrap-style:square;v-text-anchor:top" coordsize="10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46y8MA&#10;AADaAAAADwAAAGRycy9kb3ducmV2LnhtbESPwWrDMBBE74X+g9hCb7XcHFzjRgmmtKEk0NDEH7BY&#10;G9vEWhlJsZ2/jwqFHIeZecMs17PpxUjOd5YVvCYpCOLa6o4bBdXx6yUH4QOyxt4yKbiSh/Xq8WGJ&#10;hbYT/9J4CI2IEPYFKmhDGAopfd2SQZ/YgTh6J+sMhihdI7XDKcJNLxdpmkmDHceFFgf6aKk+Hy5G&#10;wc9usz2WnbuktsrtlGeT3H+WSj0/zeU7iEBzuIf/299awRv8XYk3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46y8MAAADaAAAADwAAAAAAAAAAAAAAAACYAgAAZHJzL2Rv&#10;d25yZXYueG1sUEsFBgAAAAAEAAQA9QAAAIgDAAAAAA==&#10;" path="m,l10480,e" filled="f" strokecolor="#7f7f7f" strokeweight="1pt">
                    <v:path arrowok="t" o:connecttype="custom" o:connectlocs="0,0;10480,0" o:connectangles="0,0"/>
                  </v:shape>
                </v:group>
                <v:group id="Group 6" o:spid="_x0000_s1031" style="position:absolute;left:11190;top:672;width:2;height:834" coordorigin="11190,672" coordsize="2,8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7" o:spid="_x0000_s1032" style="position:absolute;left:11190;top:672;width:2;height:834;visibility:visible;mso-wrap-style:square;v-text-anchor:top" coordsize="2,8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GPu8MA&#10;AADaAAAADwAAAGRycy9kb3ducmV2LnhtbESPX2vCQBDE3wv9DscW+lYvVRAbPaUUFaUgmPqnj0tu&#10;m4Rm90LuqvHb9wTBx2FmfsNMZh3X6kStr5wYeO0loEhyZyspDOy+Fi8jUD6gWKydkIELeZhNHx8m&#10;mFp3li2dslCoCBGfooEyhCbV2uclMfqea0ii9+NaxhBlW2jb4jnCudb9JBlqxkriQokNfZSU/2Z/&#10;bIBpH5bHDR8Wg+Py236u55zpuTHPT937GFSgLtzDt/bKGniD65V4A/T0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VGPu8MAAADaAAAADwAAAAAAAAAAAAAAAACYAgAAZHJzL2Rv&#10;d25yZXYueG1sUEsFBgAAAAAEAAQA9QAAAIgDAAAAAA==&#10;" path="m,834l,e" filled="f" strokecolor="#7f7f7f" strokeweight="1pt">
                    <v:path arrowok="t" o:connecttype="custom" o:connectlocs="0,1506;0,672" o:connectangles="0,0"/>
                  </v:shape>
                </v:group>
                <v:group id="Group 4" o:spid="_x0000_s1033" style="position:absolute;left:710;top:672;width:10480;height:2" coordorigin="710,672" coordsize="1048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5" o:spid="_x0000_s1034" style="position:absolute;left:710;top:672;width:10480;height:2;visibility:visible;mso-wrap-style:square;v-text-anchor:top" coordsize="1048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1kQr8A&#10;AADbAAAADwAAAGRycy9kb3ducmV2LnhtbERP24rCMBB9X/Afwgi+ran7IKUapYguywqKlw8YmrEt&#10;NpOSRFv/3giCb3M415kve9OIOzlfW1YwGScgiAuray4VnE+b7xSED8gaG8uk4EEelovB1xwzbTs+&#10;0P0YShFD2GeooAqhzaT0RUUG/di2xJG7WGcwROhKqR12Mdw08idJptJgzbGhwpZWFRXX480o2G1/&#10;/0957W6JPae2S6ed3K9zpUbDPp+BCNSHj/jt/tNx/gRev8QD5O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fWRCvwAAANsAAAAPAAAAAAAAAAAAAAAAAJgCAABkcnMvZG93bnJl&#10;di54bWxQSwUGAAAAAAQABAD1AAAAhAMAAAAA&#10;" path="m10480,l,e" filled="f" strokecolor="#7f7f7f" strokeweight="1pt">
                    <v:path arrowok="t" o:connecttype="custom" o:connectlocs="10480,0;0,0" o:connectangles="0,0"/>
                  </v:shape>
                </v:group>
                <w10:wrap anchorx="page"/>
              </v:group>
            </w:pict>
          </mc:Fallback>
        </mc:AlternateContent>
      </w:r>
    </w:p>
    <w:p w:rsidR="00EB0D07" w:rsidRDefault="007C28AC">
      <w:pPr>
        <w:spacing w:before="24" w:after="0" w:line="296" w:lineRule="auto"/>
        <w:ind w:left="500" w:right="8806" w:hanging="300"/>
        <w:rPr>
          <w:rFonts w:ascii="Verdana" w:eastAsia="Verdana" w:hAnsi="Verdana" w:cs="Verdana"/>
          <w:sz w:val="20"/>
          <w:szCs w:val="20"/>
        </w:rPr>
      </w:pPr>
      <w:r>
        <w:t xml:space="preserve">Fotografije in videoposnetki </w:t>
      </w:r>
      <w:r>
        <w:rPr>
          <w:rFonts w:ascii="Verdana" w:eastAsia="Verdana" w:hAnsi="Verdana" w:cs="Verdana"/>
          <w:noProof/>
          <w:sz w:val="20"/>
          <w:szCs w:val="20"/>
          <w:lang w:bidi="ar-SA"/>
        </w:rPr>
        <w:drawing>
          <wp:inline distT="0" distB="0" distL="0" distR="0">
            <wp:extent cx="152400" cy="9525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 cy="95250"/>
                    </a:xfrm>
                    <a:prstGeom prst="rect">
                      <a:avLst/>
                    </a:prstGeom>
                    <a:noFill/>
                    <a:ln>
                      <a:noFill/>
                    </a:ln>
                  </pic:spPr>
                </pic:pic>
              </a:graphicData>
            </a:graphic>
          </wp:inline>
        </w:drawing>
      </w:r>
      <w:r>
        <w:rPr>
          <w:rFonts w:ascii="Times New Roman" w:hAnsi="Times New Roman"/>
          <w:sz w:val="20"/>
        </w:rPr>
        <w:t xml:space="preserve"> </w:t>
      </w:r>
      <w:proofErr w:type="spellStart"/>
      <w:r>
        <w:rPr>
          <w:rFonts w:ascii="Verdana" w:hAnsi="Verdana"/>
          <w:color w:val="0000FF"/>
          <w:sz w:val="20"/>
          <w:u w:val="single" w:color="0000FF"/>
        </w:rPr>
        <w:t>visual</w:t>
      </w:r>
      <w:bookmarkStart w:id="0" w:name="_GoBack"/>
      <w:bookmarkEnd w:id="0"/>
      <w:proofErr w:type="spellEnd"/>
    </w:p>
    <w:sectPr w:rsidR="00EB0D07">
      <w:pgSz w:w="11900" w:h="16840"/>
      <w:pgMar w:top="620" w:right="600" w:bottom="280" w:left="6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Verdana">
    <w:altName w:val="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0D07"/>
    <w:rsid w:val="00194C67"/>
    <w:rsid w:val="00574889"/>
    <w:rsid w:val="007C28AC"/>
    <w:rsid w:val="00D80F9B"/>
    <w:rsid w:val="00EB0D0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sl-SI" w:bidi="sl-SI"/>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10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7488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48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sl-SI" w:bidi="sl-SI"/>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23102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574889"/>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57488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623</Words>
  <Characters>3554</Characters>
  <Application>Microsoft Office Word</Application>
  <DocSecurity>0</DocSecurity>
  <Lines>29</Lines>
  <Paragraphs>8</Paragraphs>
  <ScaleCrop>false</ScaleCrop>
  <HeadingPairs>
    <vt:vector size="2" baseType="variant">
      <vt:variant>
        <vt:lpstr>Naslov</vt:lpstr>
      </vt:variant>
      <vt:variant>
        <vt:i4>1</vt:i4>
      </vt:variant>
    </vt:vector>
  </HeadingPairs>
  <TitlesOfParts>
    <vt:vector size="1" baseType="lpstr">
      <vt:lpstr/>
    </vt:vector>
  </TitlesOfParts>
  <Company>Ministrstvo za šolstvo in šport</Company>
  <LinksUpToDate>false</LinksUpToDate>
  <CharactersWithSpaces>4169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Saša Ambrožič Deleja</dc:creator>
  <cp:lastModifiedBy>Tanja Taštanoska</cp:lastModifiedBy>
  <cp:revision>3</cp:revision>
  <dcterms:created xsi:type="dcterms:W3CDTF">2015-11-12T13:31:00Z</dcterms:created>
  <dcterms:modified xsi:type="dcterms:W3CDTF">2015-11-12T13:37:00Z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2015-11-11T00:00:00Z</vt:filetime>
  </property>
  <property fmtid="{D5CDD505-2E9C-101B-9397-08002B2CF9AE}" pid="3" name="LastSaved">
    <vt:filetime>2015-11-12T00:00:00Z</vt:filetime>
  </property>
</Properties>
</file>